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:rsidR="00C57341" w:rsidRDefault="00F35E03" w:rsidP="006B5222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Lot </w:t>
            </w:r>
            <w:r w:rsidR="00AE035B">
              <w:rPr>
                <w:b/>
              </w:rPr>
              <w:t xml:space="preserve">3 </w:t>
            </w:r>
            <w:r w:rsidR="00C57341">
              <w:rPr>
                <w:b/>
              </w:rPr>
              <w:t xml:space="preserve">:    </w:t>
            </w:r>
            <w:r w:rsidR="006B5222">
              <w:rPr>
                <w:b/>
              </w:rPr>
              <w:t>Gestion RH</w:t>
            </w:r>
          </w:p>
        </w:tc>
        <w:tc>
          <w:tcPr>
            <w:tcW w:w="5387" w:type="dxa"/>
            <w:vAlign w:val="center"/>
          </w:tcPr>
          <w:p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:rsidR="00C57341" w:rsidRDefault="00C57341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:rsidTr="00C57341">
        <w:trPr>
          <w:cantSplit/>
          <w:trHeight w:hRule="exact" w:val="135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:rsidR="00C57341" w:rsidRPr="006E40AD" w:rsidRDefault="00AE035B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3-4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p w:rsidR="00C57341" w:rsidRDefault="00E35DE8" w:rsidP="00804464">
            <w:pPr>
              <w:spacing w:after="40"/>
              <w:ind w:left="72"/>
              <w:jc w:val="center"/>
              <w:rPr>
                <w:sz w:val="28"/>
              </w:rPr>
            </w:pPr>
            <w:sdt>
              <w:sdtPr>
                <w:rPr>
                  <w:szCs w:val="28"/>
                </w:rPr>
                <w:id w:val="1511948120"/>
              </w:sdtPr>
              <w:sdtEndPr>
                <w:rPr>
                  <w:sz w:val="28"/>
                  <w:szCs w:val="22"/>
                </w:rPr>
              </w:sdtEndPr>
              <w:sdtContent>
                <w:r w:rsidR="008942F7">
                  <w:rPr>
                    <w:sz w:val="32"/>
                    <w:szCs w:val="32"/>
                  </w:rPr>
                  <w:t>La</w:t>
                </w:r>
                <w:r w:rsidR="00C3146C">
                  <w:rPr>
                    <w:sz w:val="32"/>
                    <w:szCs w:val="32"/>
                  </w:rPr>
                  <w:t xml:space="preserve"> gestion administrative des fonctionnaires</w:t>
                </w:r>
              </w:sdtContent>
            </w:sdt>
          </w:p>
          <w:p w:rsidR="00C57341" w:rsidRDefault="00C57341" w:rsidP="00804464">
            <w:pPr>
              <w:spacing w:after="40"/>
              <w:ind w:left="72"/>
              <w:jc w:val="center"/>
              <w:rPr>
                <w:sz w:val="24"/>
              </w:rPr>
            </w:pPr>
          </w:p>
          <w:p w:rsidR="00C57341" w:rsidRDefault="00C57341" w:rsidP="00804464">
            <w:pPr>
              <w:spacing w:after="40"/>
              <w:jc w:val="center"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:rsidR="00C57341" w:rsidRDefault="006B5222" w:rsidP="00804464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F35E03">
              <w:rPr>
                <w:sz w:val="24"/>
              </w:rPr>
              <w:t xml:space="preserve"> </w:t>
            </w:r>
            <w:r w:rsidR="002454E8">
              <w:rPr>
                <w:sz w:val="24"/>
              </w:rPr>
              <w:t>jours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:rsidTr="00B760DE">
        <w:trPr>
          <w:cantSplit/>
          <w:trHeight w:hRule="exact" w:val="5520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6E40AD" w:rsidP="00F35E03">
            <w:pPr>
              <w:tabs>
                <w:tab w:val="left" w:pos="4235"/>
              </w:tabs>
              <w:spacing w:before="40" w:after="40"/>
              <w:rPr>
                <w:sz w:val="24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Á</w:t>
            </w:r>
            <w:r w:rsidR="00C57341">
              <w:rPr>
                <w:rFonts w:ascii="Arial" w:hAnsi="Arial"/>
                <w:b/>
                <w:i/>
                <w:sz w:val="18"/>
              </w:rPr>
              <w:t xml:space="preserve"> l'issue de la formation décrite ici, le stagiaire doit </w:t>
            </w:r>
            <w:r w:rsidR="00C57341">
              <w:rPr>
                <w:sz w:val="24"/>
              </w:rPr>
              <w:t>:</w:t>
            </w:r>
          </w:p>
          <w:p w:rsidR="00F35E03" w:rsidRDefault="00F35E03" w:rsidP="00A052B4">
            <w:pPr>
              <w:tabs>
                <w:tab w:val="left" w:pos="423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9C1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C3146C" w:rsidRPr="00BD39C1">
              <w:rPr>
                <w:rFonts w:ascii="Arial" w:hAnsi="Arial" w:cs="Arial"/>
                <w:sz w:val="20"/>
                <w:szCs w:val="20"/>
              </w:rPr>
              <w:t>être opérationnel pour traiter toutes les demandes des administrés</w:t>
            </w:r>
            <w:r w:rsidR="009B5EFE" w:rsidRPr="00BD39C1">
              <w:rPr>
                <w:rFonts w:ascii="Arial" w:hAnsi="Arial" w:cs="Arial"/>
                <w:sz w:val="20"/>
                <w:szCs w:val="20"/>
              </w:rPr>
              <w:t xml:space="preserve"> fonctionnaires</w:t>
            </w:r>
            <w:r w:rsidR="00C3146C" w:rsidRPr="00BD39C1">
              <w:rPr>
                <w:rFonts w:ascii="Arial" w:hAnsi="Arial" w:cs="Arial"/>
                <w:sz w:val="20"/>
                <w:szCs w:val="20"/>
              </w:rPr>
              <w:t xml:space="preserve"> en matière de gestion administrative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Traiter les positions administratives des agents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Identifier et gérer les différentes situations d'activité et de détachement, vérifier la conformité des documents, et assurer le suivi des fins de situation.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Gérer les absences des agents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Suivre les situations d’absence (CMO, CLM, congé parental), appliquer les calculs relatifs au traitement, et instruire les dossiers en collaboration avec les conseils médicaux.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Appliquer les modalités de service et leur impact sur la rémunération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Gérer les modalités de temps partiel et thérapeutique en tenant compte de leur impact sur la paie.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Étudier et valider les demandes de supplément familial de traitement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Vérifier la conformité des demandes et adapter les procédures en cas de situation spécifique (garde alternée, famille recomposée).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Traiter le compte-épargne temps (CET)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Appliquer la réglementation, valider les documents requis, et gérer la monétisation ou le versement à la RAFP.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Calculer et traiter les reprises d’ancienneté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Analyser les documents fournis, appliquer les calculs de reprise d’ancienneté, et produire les arrêtés nécessaires.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Calculer et établir les avancements d’échelon, de grade et de corps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Calculer le reclassement et établir les arrêtés requis.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Gérer les éléments variables de rémunération (EVR)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Comprendre les EVR, utiliser </w:t>
            </w:r>
            <w:r w:rsidR="00B760DE">
              <w:rPr>
                <w:rFonts w:ascii="Arial" w:hAnsi="Arial" w:cs="Arial"/>
                <w:sz w:val="18"/>
                <w:szCs w:val="18"/>
              </w:rPr>
              <w:t>les outils de contrôle (SAFIA)</w:t>
            </w:r>
          </w:p>
          <w:p w:rsidR="00B760DE" w:rsidRDefault="006B5222" w:rsidP="00B760DE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Administrer les congés bonifiés et cumuls d’activités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Contrôler les états de service spécifiques (sous-marins, aériens) et comprendre leurs impacts sur rémunération et pension.</w:t>
            </w:r>
          </w:p>
          <w:p w:rsidR="00F35E03" w:rsidRPr="00B760DE" w:rsidRDefault="006B5222" w:rsidP="00B760DE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B760DE">
              <w:rPr>
                <w:rStyle w:val="lev"/>
                <w:rFonts w:ascii="Arial" w:hAnsi="Arial" w:cs="Arial"/>
                <w:sz w:val="18"/>
                <w:szCs w:val="18"/>
              </w:rPr>
              <w:t>Gérer les indus de rémunération</w:t>
            </w:r>
            <w:r w:rsidRPr="00B760DE">
              <w:rPr>
                <w:rFonts w:ascii="Arial" w:hAnsi="Arial" w:cs="Arial"/>
                <w:sz w:val="18"/>
                <w:szCs w:val="18"/>
              </w:rPr>
              <w:t xml:space="preserve"> : Différencier précomptes et titres de perception, rédiger les courriers adéquats</w:t>
            </w:r>
            <w:r w:rsidR="00B760DE" w:rsidRPr="00B760D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57341" w:rsidRPr="00D4240F" w:rsidRDefault="00C57341" w:rsidP="00F35E03">
            <w:pPr>
              <w:rPr>
                <w:b/>
                <w:bCs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Niveau SAME** visé : </w:t>
            </w:r>
            <w:sdt>
              <w:sdtPr>
                <w:rPr>
                  <w:rFonts w:ascii="Arial" w:hAnsi="Arial"/>
                  <w:b/>
                  <w:i/>
                  <w:sz w:val="18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C3146C">
                  <w:rPr>
                    <w:rFonts w:ascii="Arial" w:hAnsi="Arial"/>
                    <w:b/>
                    <w:i/>
                    <w:sz w:val="18"/>
                  </w:rPr>
                  <w:t>M</w:t>
                </w:r>
              </w:sdtContent>
            </w:sdt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B760DE">
        <w:trPr>
          <w:cantSplit/>
          <w:trHeight w:hRule="exact" w:val="1112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F35E03">
            <w:pPr>
              <w:tabs>
                <w:tab w:val="left" w:pos="1985"/>
              </w:tabs>
              <w:spacing w:before="40" w:after="0"/>
            </w:pPr>
            <w:r>
              <w:rPr>
                <w:rFonts w:ascii="Arial" w:hAnsi="Arial"/>
                <w:b/>
                <w:i/>
                <w:sz w:val="18"/>
              </w:rPr>
              <w:t>Population concernée</w:t>
            </w:r>
            <w:r>
              <w:rPr>
                <w:rFonts w:ascii="Arial" w:hAnsi="Arial"/>
                <w:b/>
                <w:i/>
                <w:sz w:val="18"/>
              </w:rPr>
              <w:tab/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</w:rPr>
              <w:t xml:space="preserve"> </w:t>
            </w:r>
            <w:r w:rsidR="00C3146C" w:rsidRPr="00BD39C1">
              <w:rPr>
                <w:rFonts w:ascii="Arial" w:hAnsi="Arial" w:cs="Arial"/>
                <w:sz w:val="20"/>
                <w:szCs w:val="20"/>
              </w:rPr>
              <w:t>Gestionnaires-payeurs de CMG – Gestionnaires RH de proximité</w:t>
            </w:r>
          </w:p>
          <w:p w:rsidR="00F35E03" w:rsidRDefault="00F35E03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Compétences REM : </w:t>
            </w:r>
            <w:r w:rsidR="00A052B4" w:rsidRPr="00A052B4">
              <w:rPr>
                <w:rFonts w:ascii="Arial" w:hAnsi="Arial"/>
                <w:sz w:val="18"/>
              </w:rPr>
              <w:t>1979 - REGLES STATUTAIRES</w:t>
            </w:r>
          </w:p>
          <w:p w:rsidR="00F35E03" w:rsidRDefault="00C57341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Prérequis (dont niveau SAME**) </w:t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  <w:b/>
              </w:rPr>
              <w:t xml:space="preserve"> </w:t>
            </w:r>
            <w:r w:rsidR="00BD39C1" w:rsidRPr="00BD39C1">
              <w:rPr>
                <w:rFonts w:ascii="Arial" w:hAnsi="Arial"/>
                <w:sz w:val="20"/>
                <w:szCs w:val="20"/>
              </w:rPr>
              <w:t>« Fondamentaux de la paie publique »</w:t>
            </w:r>
            <w:r w:rsidR="00BD39C1">
              <w:rPr>
                <w:rFonts w:ascii="Arial" w:hAnsi="Arial"/>
                <w:sz w:val="20"/>
                <w:szCs w:val="20"/>
              </w:rPr>
              <w:t xml:space="preserve"> (MENTOR)</w:t>
            </w:r>
          </w:p>
          <w:p w:rsidR="00C57341" w:rsidRDefault="00C57341" w:rsidP="00804464">
            <w:pPr>
              <w:tabs>
                <w:tab w:val="left" w:pos="907"/>
              </w:tabs>
              <w:spacing w:before="40" w:after="40"/>
              <w:rPr>
                <w:rFonts w:ascii="Arial" w:hAnsi="Arial"/>
              </w:rPr>
            </w:pPr>
          </w:p>
        </w:tc>
      </w:tr>
    </w:tbl>
    <w:p w:rsidR="006B5222" w:rsidRDefault="006B5222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:rsidTr="00695C2E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h (*)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C57341" w:rsidTr="00DE5482">
        <w:trPr>
          <w:trHeight w:val="390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E5482" w:rsidRDefault="00DE5482" w:rsidP="00DE5482">
            <w:pPr>
              <w:pStyle w:val="NormalWeb"/>
              <w:jc w:val="both"/>
              <w:rPr>
                <w:rStyle w:val="lev"/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Style w:val="lev"/>
                <w:rFonts w:ascii="Arial" w:hAnsi="Arial" w:cs="Arial"/>
                <w:b w:val="0"/>
                <w:bCs w:val="0"/>
                <w:sz w:val="18"/>
                <w:szCs w:val="18"/>
              </w:rPr>
              <w:t>La formation sera adaptée et contextualisée (puis mise à jour) avec un expert du MINARM pour s’adapter au contexte de la gestion administrative.</w:t>
            </w:r>
          </w:p>
          <w:p w:rsidR="00DE5482" w:rsidRPr="00DE5482" w:rsidRDefault="00DE5482" w:rsidP="00DE5482">
            <w:pPr>
              <w:pStyle w:val="NormalWeb"/>
              <w:jc w:val="both"/>
              <w:rPr>
                <w:rStyle w:val="lev"/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Style w:val="lev"/>
                <w:rFonts w:ascii="Arial" w:hAnsi="Arial" w:cs="Arial"/>
                <w:b w:val="0"/>
                <w:bCs w:val="0"/>
                <w:sz w:val="18"/>
                <w:szCs w:val="18"/>
              </w:rPr>
              <w:t>Les deux publics (GA-Payeurs et RH de proximité) ayant des besoins parfois différents, certaines parties pourront être traitées ou non selon le public.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Jour 1 : Les Fondamentaux de la Gestion Administrative des Positions et des Absences</w:t>
            </w:r>
          </w:p>
          <w:p w:rsidR="006B5222" w:rsidRPr="006B5222" w:rsidRDefault="006B5222" w:rsidP="006B5222">
            <w:pPr>
              <w:pStyle w:val="NormalWeb"/>
              <w:numPr>
                <w:ilvl w:val="1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Positions administratives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Gestion des différentes positions (activité, détachement, disponibilité</w:t>
            </w:r>
            <w:r w:rsidR="006F520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F5200" w:rsidRPr="008942F7">
              <w:rPr>
                <w:rFonts w:ascii="Arial" w:hAnsi="Arial" w:cs="Arial"/>
                <w:sz w:val="18"/>
                <w:szCs w:val="18"/>
              </w:rPr>
              <w:t>PNA</w:t>
            </w:r>
            <w:r w:rsidRPr="006B5222">
              <w:rPr>
                <w:rFonts w:ascii="Arial" w:hAnsi="Arial" w:cs="Arial"/>
                <w:sz w:val="18"/>
                <w:szCs w:val="18"/>
              </w:rPr>
              <w:t>).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Vérification des documents, suivi des fins de situations.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3 heures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lastRenderedPageBreak/>
              <w:t>Pédagogie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Exposé interactif et ateliers pratiques.</w:t>
            </w:r>
          </w:p>
          <w:p w:rsidR="006B5222" w:rsidRPr="006B5222" w:rsidRDefault="006B5222" w:rsidP="006B5222">
            <w:pPr>
              <w:pStyle w:val="NormalWeb"/>
              <w:numPr>
                <w:ilvl w:val="1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Absences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 xml:space="preserve">Types d'absences (CMO, CLM, CLD, congé </w:t>
            </w:r>
            <w:r w:rsidRPr="008942F7">
              <w:rPr>
                <w:rFonts w:ascii="Arial" w:hAnsi="Arial" w:cs="Arial"/>
                <w:sz w:val="18"/>
                <w:szCs w:val="18"/>
              </w:rPr>
              <w:t>parental</w:t>
            </w:r>
            <w:r w:rsidR="006F5200" w:rsidRPr="008942F7">
              <w:rPr>
                <w:rFonts w:ascii="Arial" w:hAnsi="Arial" w:cs="Arial"/>
                <w:sz w:val="18"/>
                <w:szCs w:val="18"/>
              </w:rPr>
              <w:t>, service non fait</w:t>
            </w:r>
            <w:r w:rsidRPr="008942F7">
              <w:rPr>
                <w:rFonts w:ascii="Arial" w:hAnsi="Arial" w:cs="Arial"/>
                <w:sz w:val="18"/>
                <w:szCs w:val="18"/>
              </w:rPr>
              <w:t>)</w:t>
            </w:r>
            <w:r w:rsidRPr="006B5222">
              <w:rPr>
                <w:rFonts w:ascii="Arial" w:hAnsi="Arial" w:cs="Arial"/>
                <w:sz w:val="18"/>
                <w:szCs w:val="18"/>
              </w:rPr>
              <w:t>, gestion des congés et des calculs relatifs au traitement.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Étude de cas sur l’instruction des dossiers de CLM/CLD.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3 heures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Exercices d’application et études de cas.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Jour 2 : Gestion des Modalités de Service, du Supplément Familial de Traitement et du Compte Épargne Temps</w:t>
            </w:r>
          </w:p>
          <w:p w:rsidR="006B5222" w:rsidRPr="006B5222" w:rsidRDefault="006B5222" w:rsidP="006B5222">
            <w:pPr>
              <w:pStyle w:val="NormalWeb"/>
              <w:numPr>
                <w:ilvl w:val="1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Modalités de service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Gestion du temps partiel classique et thérapeutique, impact sur la paie.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2 heures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Simulations et cas pratiques.</w:t>
            </w:r>
          </w:p>
          <w:p w:rsidR="006B5222" w:rsidRPr="006B5222" w:rsidRDefault="006B5222" w:rsidP="006B5222">
            <w:pPr>
              <w:pStyle w:val="NormalWeb"/>
              <w:numPr>
                <w:ilvl w:val="1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Supplément familial de traitement (SFT)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Étude des demandes de SFT, gestion des cas spécifiques (garde alternée, famille recomposée).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2 heures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Études de cas et exercices de vérification.</w:t>
            </w:r>
          </w:p>
          <w:p w:rsidR="006B5222" w:rsidRPr="006B5222" w:rsidRDefault="006B5222" w:rsidP="006B5222">
            <w:pPr>
              <w:pStyle w:val="NormalWeb"/>
              <w:numPr>
                <w:ilvl w:val="1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Compte-épargne temps (CET)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6F5200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Règles du CET, validation des docume</w:t>
            </w:r>
            <w:r w:rsidR="006F5200">
              <w:rPr>
                <w:rFonts w:ascii="Arial" w:hAnsi="Arial" w:cs="Arial"/>
                <w:sz w:val="18"/>
                <w:szCs w:val="18"/>
              </w:rPr>
              <w:t xml:space="preserve">nts, procédures de monétisation et de la </w:t>
            </w:r>
            <w:r w:rsidR="006F5200" w:rsidRPr="008942F7">
              <w:rPr>
                <w:rFonts w:ascii="Arial" w:hAnsi="Arial" w:cs="Arial"/>
                <w:sz w:val="18"/>
                <w:szCs w:val="18"/>
              </w:rPr>
              <w:t>RAFP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2 heures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Atelier pratique et simulations.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Jour 3 : Reprises d’Ancienneté, Avancements, et Reclassement</w:t>
            </w:r>
          </w:p>
          <w:p w:rsidR="006B5222" w:rsidRPr="006B5222" w:rsidRDefault="006B5222" w:rsidP="006B5222">
            <w:pPr>
              <w:pStyle w:val="NormalWeb"/>
              <w:numPr>
                <w:ilvl w:val="1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Reprises d’ancienneté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Calcul et gestion des reprises d’ancienneté, analyse des documents fournis par l’agent.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3 heures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Cas pratiques et calculs appliqués.</w:t>
            </w:r>
          </w:p>
          <w:p w:rsidR="006B5222" w:rsidRPr="006B5222" w:rsidRDefault="006B5222" w:rsidP="006B5222">
            <w:pPr>
              <w:pStyle w:val="NormalWeb"/>
              <w:numPr>
                <w:ilvl w:val="1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Avancement d’échelon, grade et corps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8942F7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 xml:space="preserve">Calcul du reclassement, gestion des arrêtés, </w:t>
            </w:r>
            <w:r w:rsidRPr="008942F7">
              <w:rPr>
                <w:rFonts w:ascii="Arial" w:hAnsi="Arial" w:cs="Arial"/>
                <w:sz w:val="18"/>
                <w:szCs w:val="18"/>
              </w:rPr>
              <w:t>élaboration de scénarios de progression.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3 heures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Simulations et rédaction d’arrêtés.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Jour 4 : Gestion des Éléments Variables de Rémunération, Services Spécifiques et Indus de Rémunération</w:t>
            </w:r>
          </w:p>
          <w:p w:rsidR="006B5222" w:rsidRPr="006B5222" w:rsidRDefault="006B5222" w:rsidP="006B5222">
            <w:pPr>
              <w:pStyle w:val="NormalWeb"/>
              <w:numPr>
                <w:ilvl w:val="1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Éléments variables de rémunération (EVR)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Identification et gestion des EVR (heures sup, astreintes), utilisation de l’outil SAFIA pour les contrôles.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2 heures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Ateliers pratiques et analyse de données.</w:t>
            </w:r>
          </w:p>
          <w:p w:rsidR="006B5222" w:rsidRPr="006B5222" w:rsidRDefault="006B5222" w:rsidP="006B5222">
            <w:pPr>
              <w:pStyle w:val="NormalWeb"/>
              <w:numPr>
                <w:ilvl w:val="1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Services spécifiques et congés bonifiés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Gestion des services sous-marins, aériens et congés bonifiés, impacts sur rémunération et pension.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2 heures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Exposé et cas concrets.</w:t>
            </w:r>
          </w:p>
          <w:p w:rsidR="006B5222" w:rsidRPr="006B5222" w:rsidRDefault="006B5222" w:rsidP="006B5222">
            <w:pPr>
              <w:pStyle w:val="NormalWeb"/>
              <w:numPr>
                <w:ilvl w:val="1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Gestion des indus de rémunération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Précomptes et titres de perception, rédaction des courriers</w:t>
            </w:r>
            <w:r w:rsidR="006F520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F5200" w:rsidRPr="008942F7">
              <w:rPr>
                <w:rFonts w:ascii="Arial" w:hAnsi="Arial" w:cs="Arial"/>
                <w:sz w:val="18"/>
                <w:szCs w:val="18"/>
              </w:rPr>
              <w:t>(modèles fournis par le CERH-PC)</w:t>
            </w:r>
            <w:r w:rsidRPr="008942F7">
              <w:rPr>
                <w:rFonts w:ascii="Arial" w:hAnsi="Arial" w:cs="Arial"/>
                <w:sz w:val="18"/>
                <w:szCs w:val="18"/>
              </w:rPr>
              <w:t xml:space="preserve">, application des procédures de </w:t>
            </w:r>
            <w:r w:rsidR="008942F7">
              <w:rPr>
                <w:rFonts w:ascii="Arial" w:hAnsi="Arial" w:cs="Arial"/>
                <w:sz w:val="18"/>
                <w:szCs w:val="18"/>
              </w:rPr>
              <w:t>régularisation.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2 heures</w:t>
            </w:r>
          </w:p>
          <w:p w:rsidR="006B5222" w:rsidRPr="006B5222" w:rsidRDefault="006B5222" w:rsidP="006B5222">
            <w:pPr>
              <w:numPr>
                <w:ilvl w:val="2"/>
                <w:numId w:val="1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Simulation de cas et rédaction de modèles.</w:t>
            </w:r>
          </w:p>
          <w:p w:rsidR="006B5222" w:rsidRPr="006B5222" w:rsidRDefault="006B5222" w:rsidP="006B5222">
            <w:pPr>
              <w:pStyle w:val="Titre3"/>
              <w:rPr>
                <w:rFonts w:ascii="Arial" w:eastAsiaTheme="minorHAnsi" w:hAnsi="Arial" w:cs="Arial"/>
                <w:sz w:val="18"/>
                <w:szCs w:val="18"/>
              </w:rPr>
            </w:pPr>
            <w:r w:rsidRPr="006B5222">
              <w:rPr>
                <w:rFonts w:ascii="Arial" w:eastAsiaTheme="minorHAnsi" w:hAnsi="Arial" w:cs="Arial"/>
                <w:sz w:val="18"/>
                <w:szCs w:val="18"/>
              </w:rPr>
              <w:t>Modalités pédagogiques :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 totale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4 jours (</w:t>
            </w: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heures)</w:t>
            </w:r>
          </w:p>
          <w:p w:rsidR="006B5222" w:rsidRPr="006B5222" w:rsidRDefault="006B5222" w:rsidP="006B5222">
            <w:pPr>
              <w:pStyle w:val="NormalWeb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Méthodes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6B5222" w:rsidRPr="006B5222" w:rsidRDefault="006B5222" w:rsidP="006B5222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Exposés théoriques pour introduire les concepts réglementaires et administratifs.</w:t>
            </w:r>
          </w:p>
          <w:p w:rsidR="006B5222" w:rsidRPr="006B5222" w:rsidRDefault="006B5222" w:rsidP="006B5222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Ateliers pratiques et études de cas pour renforcer l’autonomie des participants.</w:t>
            </w:r>
          </w:p>
          <w:p w:rsidR="004423B7" w:rsidRPr="008942F7" w:rsidRDefault="006B5222" w:rsidP="008942F7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lastRenderedPageBreak/>
              <w:t>Simulations et analyses de cas concrets pour la mise en pratique des procédures.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45B87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6</w:t>
            </w: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482" w:rsidRDefault="00DE548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482" w:rsidRDefault="00DE548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5482" w:rsidRDefault="00DE548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942F7" w:rsidRDefault="008942F7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45B87" w:rsidRDefault="00A45B87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45B87" w:rsidRPr="00F35E03" w:rsidRDefault="00A45B87" w:rsidP="00AA4755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E35DE8" w:rsidP="00804464">
            <w:pPr>
              <w:spacing w:before="4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999878563"/>
                <w:placeholder>
                  <w:docPart w:val="42A765E661B84F9A9114EE79911BB0EF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A45B87">
                  <w:rPr>
                    <w:rFonts w:ascii="Arial" w:hAnsi="Arial"/>
                    <w:b/>
                    <w:sz w:val="18"/>
                  </w:rPr>
                  <w:t>M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Pr="00F35E03" w:rsidRDefault="008942F7" w:rsidP="008942F7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exercices d'</w:t>
            </w:r>
            <w:r>
              <w:rPr>
                <w:rFonts w:ascii="Arial" w:hAnsi="Arial"/>
                <w:b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 xml:space="preserve">pplication  -   études de </w:t>
            </w:r>
            <w:r>
              <w:rPr>
                <w:rFonts w:ascii="Arial" w:hAnsi="Arial"/>
                <w:b/>
                <w:sz w:val="18"/>
              </w:rPr>
              <w:t>C</w:t>
            </w:r>
            <w:r>
              <w:rPr>
                <w:rFonts w:ascii="Arial" w:hAnsi="Arial"/>
                <w:sz w:val="18"/>
              </w:rPr>
              <w:t>as</w:t>
            </w:r>
          </w:p>
        </w:tc>
      </w:tr>
    </w:tbl>
    <w:p w:rsidR="00C57341" w:rsidRDefault="00C57341" w:rsidP="00C57341">
      <w:pPr>
        <w:spacing w:after="0"/>
        <w:rPr>
          <w:sz w:val="16"/>
        </w:rPr>
      </w:pP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proofErr w:type="gramStart"/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</w:t>
      </w:r>
      <w:proofErr w:type="gramEnd"/>
      <w:r>
        <w:rPr>
          <w:rFonts w:ascii="Arial" w:hAnsi="Arial"/>
          <w:sz w:val="18"/>
        </w:rPr>
        <w:t>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proofErr w:type="gramStart"/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</w:t>
      </w:r>
      <w:proofErr w:type="gramEnd"/>
      <w:r>
        <w:rPr>
          <w:rFonts w:ascii="Arial" w:hAnsi="Arial"/>
          <w:sz w:val="18"/>
        </w:rPr>
        <w:t>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p w:rsidR="00C57341" w:rsidRPr="001009AB" w:rsidRDefault="00C57341" w:rsidP="00C57341">
      <w:pPr>
        <w:rPr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:rsidTr="005B31F2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7341" w:rsidRDefault="00E35DE8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57341" w:rsidRDefault="00C57341" w:rsidP="00AA4755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: </w:t>
            </w:r>
            <w:sdt>
              <w:sdtPr>
                <w:rPr>
                  <w:sz w:val="24"/>
                </w:rPr>
                <w:id w:val="-785576092"/>
                <w:date w:fullDate="2024-11-12T00:00:00Z">
                  <w:dateFormat w:val="dd/MM/yyyy"/>
                  <w:lid w:val="fr-FR"/>
                  <w:storeMappedDataAs w:val="date"/>
                  <w:calendar w:val="gregorian"/>
                </w:date>
              </w:sdtPr>
              <w:sdtEndPr/>
              <w:sdtContent>
                <w:r w:rsidR="00DE5482">
                  <w:rPr>
                    <w:sz w:val="24"/>
                  </w:rPr>
                  <w:t>12/11/2024</w:t>
                </w:r>
              </w:sdtContent>
            </w:sdt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7341" w:rsidRDefault="00C57341" w:rsidP="00F35E03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  <w:r w:rsidR="00F35E03">
              <w:rPr>
                <w:sz w:val="24"/>
              </w:rPr>
              <w:t>xxx</w:t>
            </w:r>
          </w:p>
        </w:tc>
      </w:tr>
      <w:tr w:rsidR="00C57341" w:rsidTr="005B31F2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:rsidR="00C57341" w:rsidRDefault="00AA4755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>Annick MEYER</w:t>
            </w:r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rPr>
                <w:sz w:val="24"/>
              </w:rPr>
            </w:pPr>
          </w:p>
        </w:tc>
      </w:tr>
    </w:tbl>
    <w:p w:rsidR="002656E7" w:rsidRDefault="002656E7" w:rsidP="008F056E">
      <w:pPr>
        <w:spacing w:after="160" w:line="259" w:lineRule="auto"/>
      </w:pPr>
    </w:p>
    <w:sectPr w:rsidR="002656E7" w:rsidSect="0018162C">
      <w:headerReference w:type="default" r:id="rId8"/>
      <w:pgSz w:w="11906" w:h="16838"/>
      <w:pgMar w:top="1417" w:right="1417" w:bottom="426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DE8" w:rsidRDefault="00E35DE8" w:rsidP="00C57341">
      <w:pPr>
        <w:spacing w:after="0" w:line="240" w:lineRule="auto"/>
      </w:pPr>
      <w:r>
        <w:separator/>
      </w:r>
    </w:p>
  </w:endnote>
  <w:endnote w:type="continuationSeparator" w:id="0">
    <w:p w:rsidR="00E35DE8" w:rsidRDefault="00E35DE8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DE8" w:rsidRDefault="00E35DE8" w:rsidP="00C57341">
      <w:pPr>
        <w:spacing w:after="0" w:line="240" w:lineRule="auto"/>
      </w:pPr>
      <w:r>
        <w:separator/>
      </w:r>
    </w:p>
  </w:footnote>
  <w:footnote w:type="continuationSeparator" w:id="0">
    <w:p w:rsidR="00E35DE8" w:rsidRDefault="00E35DE8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:rsidTr="00804464">
      <w:trPr>
        <w:trHeight w:val="1021"/>
      </w:trPr>
      <w:tc>
        <w:tcPr>
          <w:tcW w:w="1843" w:type="dxa"/>
          <w:vAlign w:val="center"/>
        </w:tcPr>
        <w:p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31EE73E8" wp14:editId="23E15D8E">
                <wp:extent cx="1054100" cy="666115"/>
                <wp:effectExtent l="0" t="0" r="0" b="635"/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0511C"/>
    <w:multiLevelType w:val="multilevel"/>
    <w:tmpl w:val="BD98E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9" w15:restartNumberingAfterBreak="0">
    <w:nsid w:val="31A2464A"/>
    <w:multiLevelType w:val="multilevel"/>
    <w:tmpl w:val="80FE1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F51C9"/>
    <w:multiLevelType w:val="multilevel"/>
    <w:tmpl w:val="BCE04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2"/>
  </w:num>
  <w:num w:numId="4">
    <w:abstractNumId w:val="17"/>
  </w:num>
  <w:num w:numId="5">
    <w:abstractNumId w:val="12"/>
  </w:num>
  <w:num w:numId="6">
    <w:abstractNumId w:val="13"/>
  </w:num>
  <w:num w:numId="7">
    <w:abstractNumId w:val="8"/>
  </w:num>
  <w:num w:numId="8">
    <w:abstractNumId w:val="20"/>
  </w:num>
  <w:num w:numId="9">
    <w:abstractNumId w:val="19"/>
  </w:num>
  <w:num w:numId="10">
    <w:abstractNumId w:val="14"/>
  </w:num>
  <w:num w:numId="11">
    <w:abstractNumId w:val="4"/>
  </w:num>
  <w:num w:numId="12">
    <w:abstractNumId w:val="10"/>
  </w:num>
  <w:num w:numId="13">
    <w:abstractNumId w:val="18"/>
  </w:num>
  <w:num w:numId="14">
    <w:abstractNumId w:val="5"/>
  </w:num>
  <w:num w:numId="15">
    <w:abstractNumId w:val="3"/>
  </w:num>
  <w:num w:numId="16">
    <w:abstractNumId w:val="6"/>
  </w:num>
  <w:num w:numId="17">
    <w:abstractNumId w:val="0"/>
  </w:num>
  <w:num w:numId="18">
    <w:abstractNumId w:val="11"/>
  </w:num>
  <w:num w:numId="19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03CE7"/>
    <w:rsid w:val="00024C4D"/>
    <w:rsid w:val="000335F7"/>
    <w:rsid w:val="00062FF5"/>
    <w:rsid w:val="000A5AEE"/>
    <w:rsid w:val="000D664E"/>
    <w:rsid w:val="000F4CA2"/>
    <w:rsid w:val="00174779"/>
    <w:rsid w:val="0018162C"/>
    <w:rsid w:val="0018698E"/>
    <w:rsid w:val="002069E0"/>
    <w:rsid w:val="00212F5F"/>
    <w:rsid w:val="002454E8"/>
    <w:rsid w:val="002656E7"/>
    <w:rsid w:val="0029010E"/>
    <w:rsid w:val="002E4602"/>
    <w:rsid w:val="002E5017"/>
    <w:rsid w:val="00311FB8"/>
    <w:rsid w:val="0036387B"/>
    <w:rsid w:val="003F59D2"/>
    <w:rsid w:val="004423B7"/>
    <w:rsid w:val="004F036F"/>
    <w:rsid w:val="00524954"/>
    <w:rsid w:val="00597B14"/>
    <w:rsid w:val="005B31F2"/>
    <w:rsid w:val="005F5BA9"/>
    <w:rsid w:val="00635413"/>
    <w:rsid w:val="00695C2E"/>
    <w:rsid w:val="006B5222"/>
    <w:rsid w:val="006E40AD"/>
    <w:rsid w:val="006F5200"/>
    <w:rsid w:val="006F7E81"/>
    <w:rsid w:val="00742BA9"/>
    <w:rsid w:val="007F3434"/>
    <w:rsid w:val="0080573F"/>
    <w:rsid w:val="00892C50"/>
    <w:rsid w:val="008942F7"/>
    <w:rsid w:val="008F056E"/>
    <w:rsid w:val="009A0D2B"/>
    <w:rsid w:val="009B5EFE"/>
    <w:rsid w:val="009F7194"/>
    <w:rsid w:val="00A03F9A"/>
    <w:rsid w:val="00A052B4"/>
    <w:rsid w:val="00A45B87"/>
    <w:rsid w:val="00A54636"/>
    <w:rsid w:val="00A662CD"/>
    <w:rsid w:val="00A66D9C"/>
    <w:rsid w:val="00AA4755"/>
    <w:rsid w:val="00AC540F"/>
    <w:rsid w:val="00AE035B"/>
    <w:rsid w:val="00B760DE"/>
    <w:rsid w:val="00BC7A12"/>
    <w:rsid w:val="00BD244E"/>
    <w:rsid w:val="00BD39C1"/>
    <w:rsid w:val="00C03F68"/>
    <w:rsid w:val="00C3146C"/>
    <w:rsid w:val="00C57341"/>
    <w:rsid w:val="00CB4528"/>
    <w:rsid w:val="00CE6716"/>
    <w:rsid w:val="00D8608E"/>
    <w:rsid w:val="00DD16E5"/>
    <w:rsid w:val="00DE5482"/>
    <w:rsid w:val="00E35DE8"/>
    <w:rsid w:val="00E9754F"/>
    <w:rsid w:val="00F35E03"/>
    <w:rsid w:val="00F70975"/>
    <w:rsid w:val="00FD4272"/>
    <w:rsid w:val="00FE043C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9133C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paragraph" w:styleId="Titre3">
    <w:name w:val="heading 3"/>
    <w:basedOn w:val="Normal"/>
    <w:link w:val="Titre3Car"/>
    <w:uiPriority w:val="9"/>
    <w:semiHidden/>
    <w:unhideWhenUsed/>
    <w:qFormat/>
    <w:rsid w:val="006B52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paragraph" w:styleId="NormalWeb">
    <w:name w:val="Normal (Web)"/>
    <w:basedOn w:val="Normal"/>
    <w:uiPriority w:val="99"/>
    <w:unhideWhenUsed/>
    <w:rsid w:val="006B52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B5222"/>
    <w:rPr>
      <w:b/>
      <w:bCs/>
    </w:rPr>
  </w:style>
  <w:style w:type="character" w:customStyle="1" w:styleId="Titre3Car">
    <w:name w:val="Titre 3 Car"/>
    <w:basedOn w:val="Policepardfaut"/>
    <w:link w:val="Titre3"/>
    <w:uiPriority w:val="9"/>
    <w:semiHidden/>
    <w:rsid w:val="006B522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42A765E661B84F9A9114EE79911BB0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35718-1404-472A-8268-ED9648F1392A}"/>
      </w:docPartPr>
      <w:docPartBody>
        <w:p w:rsidR="00B17B18" w:rsidRDefault="00B271D6" w:rsidP="00B271D6">
          <w:pPr>
            <w:pStyle w:val="42A765E661B84F9A9114EE79911BB0EF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80656"/>
    <w:rsid w:val="001768DE"/>
    <w:rsid w:val="00253781"/>
    <w:rsid w:val="003E026D"/>
    <w:rsid w:val="00423476"/>
    <w:rsid w:val="004238DB"/>
    <w:rsid w:val="005C4578"/>
    <w:rsid w:val="00605A06"/>
    <w:rsid w:val="00793BDD"/>
    <w:rsid w:val="007A3F5B"/>
    <w:rsid w:val="00864215"/>
    <w:rsid w:val="008B38A0"/>
    <w:rsid w:val="00A11324"/>
    <w:rsid w:val="00A8432B"/>
    <w:rsid w:val="00AD1E63"/>
    <w:rsid w:val="00B17B18"/>
    <w:rsid w:val="00B271D6"/>
    <w:rsid w:val="00B779DB"/>
    <w:rsid w:val="00D10182"/>
    <w:rsid w:val="00D421AE"/>
    <w:rsid w:val="00E95841"/>
    <w:rsid w:val="00FD0D95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B18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81F0B-44A7-4D33-8A26-6CFB5520E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889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7</cp:revision>
  <cp:lastPrinted>2024-08-29T14:25:00Z</cp:lastPrinted>
  <dcterms:created xsi:type="dcterms:W3CDTF">2024-11-13T09:18:00Z</dcterms:created>
  <dcterms:modified xsi:type="dcterms:W3CDTF">2024-11-14T09:50:00Z</dcterms:modified>
</cp:coreProperties>
</file>